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การขอรับบำเหน็จตกทอด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478CA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การจ่ายบำเหน็จตกทอด จ่ายเป็นจำนวน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เท่าของบำเหน็จรายเดือน หรือบำเหน็จพิเศษรายเดือน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 ตามหนังสือแสดงเจตนาฯ กรณีมากกว่า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คน ให้กำหนดส่วนให้ชัดเจน กรณีมิได้กำหนดส่วนให้ถือว่าทุกคนมีสิทธิได้รับในอัตราส่วนที่เท่ากัน ตามวิธีการในการแสดงเจตนาระบุตัวผู้รับบำเหน็จตกทอดลูกจ้างประจำของราชการส่วนท้องถิ่น ตามหนังสือกระทรวงมหาดไทย ที่ มท </w:t>
      </w:r>
      <w:r w:rsidRPr="00586D86">
        <w:rPr>
          <w:rFonts w:ascii="Tahoma" w:hAnsi="Tahoma" w:cs="Tahoma"/>
          <w:noProof/>
          <w:sz w:val="20"/>
          <w:szCs w:val="20"/>
        </w:rPr>
        <w:t>0808.5/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 </w:t>
      </w:r>
      <w:r w:rsidRPr="00586D86">
        <w:rPr>
          <w:rFonts w:ascii="Tahoma" w:hAnsi="Tahoma" w:cs="Tahoma"/>
          <w:noProof/>
          <w:sz w:val="20"/>
          <w:szCs w:val="20"/>
        </w:rPr>
        <w:t xml:space="preserve">4061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สิงหาคม </w:t>
      </w:r>
      <w:r w:rsidRPr="00586D86">
        <w:rPr>
          <w:rFonts w:ascii="Tahoma" w:hAnsi="Tahoma" w:cs="Tahoma"/>
          <w:noProof/>
          <w:sz w:val="20"/>
          <w:szCs w:val="20"/>
        </w:rPr>
        <w:t>2555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</w:t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  <w:cs/>
        </w:rPr>
        <w:t>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</w:p>
    <w:p w:rsidR="000478CA" w:rsidRDefault="000478CA" w:rsidP="009A04E3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0478CA" w:rsidRPr="000478CA" w:rsidRDefault="000478CA" w:rsidP="000478CA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r w:rsidRPr="000478CA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</w:p>
    <w:p w:rsidR="00513AE8" w:rsidRPr="00586D86" w:rsidRDefault="000478CA" w:rsidP="000478CA">
      <w:pPr>
        <w:spacing w:after="0"/>
        <w:rPr>
          <w:rFonts w:ascii="Tahoma" w:hAnsi="Tahoma" w:cs="Tahoma"/>
          <w:sz w:val="20"/>
          <w:szCs w:val="20"/>
        </w:rPr>
      </w:pPr>
      <w:r w:rsidRPr="000478CA">
        <w:rPr>
          <w:rFonts w:ascii="Tahoma" w:hAnsi="Tahoma" w:cs="Tahoma"/>
          <w:noProof/>
          <w:sz w:val="20"/>
          <w:szCs w:val="20"/>
          <w:cs/>
        </w:rPr>
        <w:t xml:space="preserve">ระเบียบกระทรวงมหาดไทยว่าด้วยบำเหน็จลูกจ้างของหน่วยการบริหารราชการส่วนท้องถิ่น พ.ศ. </w:t>
      </w:r>
      <w:r w:rsidRPr="000478CA">
        <w:rPr>
          <w:rFonts w:ascii="Tahoma" w:hAnsi="Tahoma" w:cs="Tahoma"/>
          <w:noProof/>
          <w:sz w:val="20"/>
          <w:szCs w:val="20"/>
        </w:rPr>
        <w:t>2542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องค์การบริหารส่วนจังหวัด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 xml:space="preserve">                 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  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ทายาทหรือผู้มีสิทธิยื่นเรื่องขอรับบำเหน็จตกทอดพร้อม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เอกสารต่อองค์กรปกครองส่วนท้องถิ่นที่ลูกจ้างประจำรับบำเหน็จรายเดือนหรือบำเหน็จพิเศษรายเดือน และเจ้าหน้าที่ตรวจสอบความถูกต้องของเอกสารหลักฐาน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 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นายกองค์กรปกครองส่วนท้องถิ่นหรือผู้ที่รับมอบอำนาจ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พิจารณาสั่งจ่ายเงินบำเหน็จตกทอด โดยองค์กรปกครองส่วนท้องถิ่นแจ้งและเบิกจ่ายเงิน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ดังกล่าวให้แก่ทายาทหรือผู้มีสิทธิฯ ต่อไป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แบบคำขอรับบำเหน็จตกทอดลูกจ้างประจำ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78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ขอรับแบบคำขอรับบำเหน็จตกทอดลูกจ้างประจำที่หน่วยงานต้นสังกัด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หนังสือแสดงเจตนาระบุตัวผู้รับบำเหน็จตกทอดลูกจ้างประจำของราชการส่วนท้องถิ่น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78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333024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78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176711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78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99523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lastRenderedPageBreak/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องค์การบริหารส่วนจังหวัด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ระบุชื่อ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............................... 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           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ระบุชื่อ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) 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............................... 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 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ระบุชื่อ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)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............................... 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เมืองพัทยา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...............................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แบบคำขอรับบำเหน็จตกทอดลูกจ้างประจำ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ตามรูปแบบที่องค์กรปกครองส่วนท้องถิ่น แต่ละแห่งกำหนด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0478C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13/07/2558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478CA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80E3C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EFAD-FBEB-4D6F-B3A9-67EF766A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2015-09-02T08:09:00Z</dcterms:created>
  <dcterms:modified xsi:type="dcterms:W3CDTF">2015-09-02T08:09:00Z</dcterms:modified>
</cp:coreProperties>
</file>